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auto" w:val="clear"/>
        </w:rPr>
      </w:pPr>
      <w:r>
        <w:object w:dxaOrig="1174" w:dyaOrig="890">
          <v:rect xmlns:o="urn:schemas-microsoft-com:office:office" xmlns:v="urn:schemas-microsoft-com:vml" id="rectole0000000000" style="width:58.700000pt;height:44.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NewRomanPSMT" w:hAnsi="TimesNewRomanPSMT" w:cs="TimesNewRomanPSMT" w:eastAsia="TimesNewRomanPSMT"/>
          <w:color w:val="000000"/>
          <w:spacing w:val="0"/>
          <w:position w:val="0"/>
          <w:sz w:val="28"/>
          <w:shd w:fill="auto" w:val="clear"/>
        </w:rPr>
      </w:pPr>
      <w:r>
        <w:rPr>
          <w:rFonts w:ascii="Calibri" w:hAnsi="Calibri" w:cs="Calibri" w:eastAsia="Calibri"/>
          <w:color w:val="000000"/>
          <w:spacing w:val="0"/>
          <w:position w:val="0"/>
          <w:sz w:val="24"/>
          <w:shd w:fill="auto" w:val="clear"/>
        </w:rPr>
        <w:t xml:space="preserve">Общество</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ограниченной</w:t>
      </w:r>
      <w:r>
        <w:rPr>
          <w:rFonts w:ascii="TimesNewRomanPSMT" w:hAnsi="TimesNewRomanPSMT" w:cs="TimesNewRomanPSMT" w:eastAsia="TimesNewRomanPSMT"/>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ответственностью</w:t>
      </w:r>
      <w:r>
        <w:rPr>
          <w:rFonts w:ascii="TimesNewRomanPSMT" w:hAnsi="TimesNewRomanPSMT" w:cs="TimesNewRomanPSMT" w:eastAsia="TimesNewRomanPSMT"/>
          <w:color w:val="000000"/>
          <w:spacing w:val="0"/>
          <w:position w:val="0"/>
          <w:sz w:val="24"/>
          <w:shd w:fill="auto" w:val="clear"/>
        </w:rPr>
        <w:t xml:space="preserve"> </w:t>
      </w:r>
    </w:p>
    <w:p>
      <w:pPr>
        <w:spacing w:before="0" w:after="0" w:line="240"/>
        <w:ind w:right="0" w:left="0" w:firstLine="0"/>
        <w:jc w:val="center"/>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СТОМАТОЛОГИЯ</w:t>
      </w:r>
      <w:r>
        <w:rPr>
          <w:rFonts w:ascii="TimesNewRomanPSMT" w:hAnsi="TimesNewRomanPSMT" w:cs="TimesNewRomanPSMT" w:eastAsia="TimesNewRomanPSMT"/>
          <w:color w:val="000000"/>
          <w:spacing w:val="0"/>
          <w:position w:val="0"/>
          <w:sz w:val="24"/>
          <w:shd w:fill="auto" w:val="clear"/>
        </w:rPr>
        <w:t xml:space="preserve">»</w:t>
      </w:r>
    </w:p>
    <w:p>
      <w:pPr>
        <w:spacing w:before="0" w:after="0" w:line="240"/>
        <w:ind w:right="0" w:left="0" w:firstLine="0"/>
        <w:jc w:val="center"/>
        <w:rPr>
          <w:rFonts w:ascii="TimesNewRomanPSMT" w:hAnsi="TimesNewRomanPSMT" w:cs="TimesNewRomanPSMT" w:eastAsia="TimesNewRomanPSMT"/>
          <w:color w:val="000000"/>
          <w:spacing w:val="0"/>
          <w:position w:val="0"/>
          <w:sz w:val="40"/>
          <w:shd w:fill="auto" w:val="clear"/>
        </w:rPr>
      </w:pPr>
      <w:r>
        <w:rPr>
          <w:rFonts w:ascii="TimesNewRomanPSMT" w:hAnsi="TimesNewRomanPSMT" w:cs="TimesNewRomanPSMT" w:eastAsia="TimesNewRomanPSMT"/>
          <w:color w:val="000000"/>
          <w:spacing w:val="0"/>
          <w:position w:val="0"/>
          <w:sz w:val="24"/>
          <w:shd w:fill="auto" w:val="clear"/>
        </w:rPr>
        <w:t xml:space="preserve">_____________________________________________________________</w:t>
      </w:r>
    </w:p>
    <w:p>
      <w:pPr>
        <w:spacing w:before="0" w:after="0" w:line="240"/>
        <w:ind w:right="0" w:left="0" w:firstLine="0"/>
        <w:jc w:val="center"/>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Московская</w:t>
      </w:r>
      <w:r>
        <w:rPr>
          <w:rFonts w:ascii="TimesNewRomanPSMT" w:hAnsi="TimesNewRomanPSMT" w:cs="TimesNewRomanPSMT" w:eastAsia="TimesNewRomanPSMT"/>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область</w:t>
      </w:r>
      <w:r>
        <w:rPr>
          <w:rFonts w:ascii="TimesNewRomanPSMT" w:hAnsi="TimesNewRomanPSMT" w:cs="TimesNewRomanPSMT" w:eastAsia="TimesNewRomanPSMT"/>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г</w:t>
      </w:r>
      <w:r>
        <w:rPr>
          <w:rFonts w:ascii="TimesNewRomanPSMT" w:hAnsi="TimesNewRomanPSMT" w:cs="TimesNewRomanPSMT" w:eastAsia="TimesNewRomanPSMT"/>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Мытищи</w:t>
      </w:r>
      <w:r>
        <w:rPr>
          <w:rFonts w:ascii="TimesNewRomanPSMT" w:hAnsi="TimesNewRomanPSMT" w:cs="TimesNewRomanPSMT" w:eastAsia="TimesNewRomanPSMT"/>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Олимпийский</w:t>
      </w:r>
      <w:r>
        <w:rPr>
          <w:rFonts w:ascii="TimesNewRomanPSMT" w:hAnsi="TimesNewRomanPSMT" w:cs="TimesNewRomanPSMT" w:eastAsia="TimesNewRomanPSMT"/>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проспект</w:t>
      </w:r>
      <w:r>
        <w:rPr>
          <w:rFonts w:ascii="TimesNewRomanPSMT" w:hAnsi="TimesNewRomanPSMT" w:cs="TimesNewRomanPSMT" w:eastAsia="TimesNewRomanPSMT"/>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строение</w:t>
      </w:r>
      <w:r>
        <w:rPr>
          <w:rFonts w:ascii="TimesNewRomanPSMT" w:hAnsi="TimesNewRomanPSMT" w:cs="TimesNewRomanPSMT" w:eastAsia="TimesNewRomanPSMT"/>
          <w:color w:val="000000"/>
          <w:spacing w:val="0"/>
          <w:position w:val="0"/>
          <w:sz w:val="16"/>
          <w:shd w:fill="auto" w:val="clear"/>
        </w:rPr>
        <w:t xml:space="preserve"> 2, </w:t>
      </w:r>
      <w:r>
        <w:rPr>
          <w:rFonts w:ascii="Calibri" w:hAnsi="Calibri" w:cs="Calibri" w:eastAsia="Calibri"/>
          <w:color w:val="000000"/>
          <w:spacing w:val="0"/>
          <w:position w:val="0"/>
          <w:sz w:val="16"/>
          <w:shd w:fill="auto" w:val="clear"/>
        </w:rPr>
        <w:t xml:space="preserve">д</w:t>
      </w:r>
      <w:r>
        <w:rPr>
          <w:rFonts w:ascii="TimesNewRomanPSMT" w:hAnsi="TimesNewRomanPSMT" w:cs="TimesNewRomanPSMT" w:eastAsia="TimesNewRomanPSMT"/>
          <w:color w:val="000000"/>
          <w:spacing w:val="0"/>
          <w:position w:val="0"/>
          <w:sz w:val="16"/>
          <w:shd w:fill="auto" w:val="clear"/>
        </w:rPr>
        <w:t xml:space="preserve">. 29, </w:t>
      </w:r>
      <w:r>
        <w:rPr>
          <w:rFonts w:ascii="Calibri" w:hAnsi="Calibri" w:cs="Calibri" w:eastAsia="Calibri"/>
          <w:color w:val="000000"/>
          <w:spacing w:val="0"/>
          <w:position w:val="0"/>
          <w:sz w:val="16"/>
          <w:shd w:fill="auto" w:val="clear"/>
        </w:rPr>
        <w:t xml:space="preserve">офис</w:t>
      </w:r>
      <w:r>
        <w:rPr>
          <w:rFonts w:ascii="TimesNewRomanPSMT" w:hAnsi="TimesNewRomanPSMT" w:cs="TimesNewRomanPSMT" w:eastAsia="TimesNewRomanPSMT"/>
          <w:color w:val="000000"/>
          <w:spacing w:val="0"/>
          <w:position w:val="0"/>
          <w:sz w:val="16"/>
          <w:shd w:fill="auto" w:val="clear"/>
        </w:rPr>
        <w:t xml:space="preserve"> 9</w:t>
      </w:r>
      <w:r>
        <w:rPr>
          <w:rFonts w:ascii="Calibri" w:hAnsi="Calibri" w:cs="Calibri" w:eastAsia="Calibri"/>
          <w:color w:val="000000"/>
          <w:spacing w:val="0"/>
          <w:position w:val="0"/>
          <w:sz w:val="16"/>
          <w:shd w:fill="auto" w:val="clear"/>
        </w:rPr>
        <w:t xml:space="preserve">А</w:t>
      </w:r>
      <w:r>
        <w:rPr>
          <w:rFonts w:ascii="TimesNewRomanPSMT" w:hAnsi="TimesNewRomanPSMT" w:cs="TimesNewRomanPSMT" w:eastAsia="TimesNewRomanPSMT"/>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тел</w:t>
      </w:r>
      <w:r>
        <w:rPr>
          <w:rFonts w:ascii="TimesNewRomanPSMT" w:hAnsi="TimesNewRomanPSMT" w:cs="TimesNewRomanPSMT" w:eastAsia="TimesNewRomanPSMT"/>
          <w:color w:val="000000"/>
          <w:spacing w:val="0"/>
          <w:position w:val="0"/>
          <w:sz w:val="16"/>
          <w:shd w:fill="auto" w:val="clear"/>
        </w:rPr>
        <w:t xml:space="preserve">.: 8-495-407-06-67 8-916-586-15-06</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16"/>
          <w:shd w:fill="auto" w:val="clear"/>
        </w:rPr>
        <w:t xml:space="preserve"> </w:t>
      </w:r>
      <w:r>
        <w:rPr>
          <w:rFonts w:ascii="Calibri" w:hAnsi="Calibri" w:cs="Calibri" w:eastAsia="Calibri"/>
          <w:color w:val="000000"/>
          <w:spacing w:val="0"/>
          <w:position w:val="0"/>
          <w:sz w:val="16"/>
          <w:shd w:fill="auto" w:val="clear"/>
        </w:rPr>
        <w:t xml:space="preserve">ИНН 5029132270 КПП 502901001 ОГРН 1095029010075 01.12.2009 г.</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Рекомендации для пациентов по использованию съемных протезов</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Уважаемые пациенты, сохраняйте спокойствие в первые дни после установки протезов, помните, что ношение зубных протезов требует привыкания. Следует иметь ввиду, что привыкание к зубным протезам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постепенный процесс. Поначалу вы можете испытывать затруднения при приеме пищи, речь может стать нечеткой, могут измениться вкусовые ощущения, может возникнуть психологическая неуверенность. Первое время использование съёмных протезов может вызывать ощущение инородного тела, тошноту, увеличение слюноотделение. Постепенно эти явления будут уменьшаться по мере привыкания к съёмным протезам. Главное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помнить, что все эти ощущения нормальны, естественны и преодолимы.</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Находясь в кресле у врача-стоматолога постарайтесь научиться самостоятельно снимать и надевать протез. Затем потренируйтесь дома перед зеркалом, потом без него. Перед наложением протез нужно смочить в воде. В целях лучшего привыкания к протезам и восстановления нормальной дикции рекомендуется читать вслух (книги, газеты, журналы), много разговаривать.</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следует кусать передними зубами первое время. Старайтесь пережевывать пищу боковыми зубами одновременно (левыми и правыми сразу). Пища в первые дни не должна быть твердой. Рекомендуется есть мелкими кусочками, даже фрукты и овощи.</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Первые 7 дней следует употреблять только мягкую, перетертую пищу. .Настоятельно рекомендуем Вам исключить сильно твёрдую пищу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сухари, орехи и т. д. Первые 7 дней протезы на ночь не снимать. По возможности носить их круглосуточно, снимая только для выполнения гигиенических процедур. По прошествии этого времени протезы на ночь снимать обязательно! Первые 7 дней протезы следует хранить в ёмкости с водой.</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Полное привыкание к съемным протезами наступит в течение двух месяцев!</w:t>
      </w:r>
    </w:p>
    <w:p>
      <w:pPr>
        <w:spacing w:before="0" w:after="2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Уход за съемными протезами</w:t>
      </w:r>
    </w:p>
    <w:p>
      <w:pPr>
        <w:numPr>
          <w:ilvl w:val="0"/>
          <w:numId w:val="5"/>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Хранить протезы вне полости рта рекомендуем в сухой и чистой герметичной емкости. Перед наложением протез стоит смочить в воде.</w:t>
      </w:r>
    </w:p>
    <w:p>
      <w:pPr>
        <w:numPr>
          <w:ilvl w:val="0"/>
          <w:numId w:val="5"/>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каждого приема пищи протез следует вынимать из полости рта и тщательно промыть под проточной водой, используя щетку для удаления остатков пищи. Протез должен быть чистым!</w:t>
      </w:r>
    </w:p>
    <w:p>
      <w:pPr>
        <w:numPr>
          <w:ilvl w:val="0"/>
          <w:numId w:val="5"/>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Дважды в день (утром и вечером) чистить протез зубной пастой и щеткой средней степени жесткости.Чистку протезов желательно производить над раковиной, чтобы избежать его механических повреждений при случайном выпадении из рук.</w:t>
      </w:r>
    </w:p>
    <w:p>
      <w:pPr>
        <w:numPr>
          <w:ilvl w:val="0"/>
          <w:numId w:val="5"/>
        </w:numPr>
        <w:spacing w:before="0" w:after="20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Можно использовать очистительные таблетки, например очищающие таблетки (Протефикс). Они, не повреждая протез механически, очищают его и устраняют неприятные запахи, удаляют налет и зубной камень, восстанавливают естественный цвет протезов.</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Адаптация к несъемным протезам</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Уважаемые пациенты! Поскольку несъемный протез является инородным телом, восполняющим дефект зубного ряда или твердых тканей одного зуба, следует отдавать себе отчет в том, что должен пройти определенный адаптационный период, чтобы Ваш организм смог полностью привыкнуть к новой конструкции в полости рта. Надо понимать, что все возможные неприятные последствия (увеличение слюноотделения, изменение дикции), причиняющие Вам дискомфорт после установки протеза, являются временными. Привыкание к несъемным протезам происходит быстрее, чем к съемным конструкциям. Сроки привыкания к несъемным протезам обычно составляют 2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3 </w:t>
      </w:r>
      <w:r>
        <w:rPr>
          <w:rFonts w:ascii="Calibri" w:hAnsi="Calibri" w:cs="Calibri" w:eastAsia="Calibri"/>
          <w:color w:val="auto"/>
          <w:spacing w:val="0"/>
          <w:position w:val="0"/>
          <w:sz w:val="24"/>
          <w:shd w:fill="auto" w:val="clear"/>
        </w:rPr>
        <w:t xml:space="preserve">дня</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Уход за несъемными протезами</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Несъемные конструкции становятся частью зубного ряда и подвержены такому же скоплению бактерий, как и естественные зубы, и поэтому являются благоприятным местом для развития патогенных микроорганизмов. Скопление налета обычно провоцирует образование неприятного запаха изо рта, что ведет к появлению дискомфорта при общении с другими людьми. И это самое безобидное последствие отсутствия гигиены. Грамотный, правильный и своевременный уход за зубными протезами позволит увеличить срок их службы с момента установки и предотвратит развитие различных стоматологических заболеваний.</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Искусственные конструкции в полости рта необходимо подвергать чистке минимум дважды в день, желательно после каждого приема пищи. Техника чистки несъемных протезов зубной щеткой такая же, как и остальных зубов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движения щетинок должны быть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выметающими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есть идти от десны в сторону коронки зуба. Особое внимание следует уделить месту соприкосновения конструкции с десной, где обычно наблюдается наибольшее скопление налета. При использовании зубной нити, следует иметь ввиду, что прилагать значительное усилие для ее извлечения из межзубного промежутка не рекомендуется, поскольку это может явиться причиной ухудшения фиксации несъемной конструкции. В таком случае необходимо просто потянуть за один из ее свободных концов, что обеспечит ее беспрепятственный выход. Когда речь заходит о мостовидном протезе, то тут следует уделить особое внимание очистке промывного пространства конструкции (место, где зуб отсутствует). Гигиену этой области рекомендуется проводить ершиками и щетками специальной формы, которые можно приобрести в аптеке. Раз в полгода нужно обязательно посещать стоматолога для профессиональной чистки зубов вместе с протезами. Чистка протезов осуществляется вместе с остальными зубами и для пациента ничем принципиально не отличается.</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следует жевать или грызть твердые продукты (сухари, орехи, лед, конфеты типа ирисок и леденцов и т. п. ), жесткие предметы, так как это может привести к повреждению или поломке коронки, мостовидного протеза. Если речь идет о конструкциях из керамики, необходимо помнить, что этот материал плохо переносит резкий перепад температур, что может стать причиной возникновения трещин и сколов.</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