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15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51" w:line="259"/>
        <w:ind w:right="6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ЛИСТ ИНФОРМИРОВАННОГО ДОБРОВОЛЬНОГО  СОГЛАСИЯ ПАЦИЕНТА НА МЕДИЦИНСКОЕ ВМЕШАТЕЛЬСТВО: ХИРУРГИЧЕСКОЕ СТОМАТОЛОГИЧЕСКОЕ ЛЕЧЕНИЕ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УВЕЛИЧЕНИЕ ОБЪЕМА КОСТИ В ОБЛАСТИ ВЕРХНЕЧЕЛЮСТНОЙ ПАЗУХИ. </w:t>
      </w:r>
    </w:p>
    <w:p>
      <w:pPr>
        <w:spacing w:before="0" w:after="5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5" w:line="27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соответствии со статьей 20 Федерального закона от 21.11.2011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323-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информированное добровольное согласие пациента (законного представителя пациента) на медицинское вмешательство: хирургическое стоматологическое лечение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увеличение объема кости в области верхнечелюстной пазухи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является Приложением к медицинской карте стоматологического </w:t>
        <w:tab/>
        <w:t xml:space="preserve">больного 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48" w:line="267"/>
        <w:ind w:right="1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указывается полностью Ф.И.О. пациента) </w:t>
      </w:r>
    </w:p>
    <w:p>
      <w:pPr>
        <w:spacing w:before="0" w:after="6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35" w:line="27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Увеличение объема кости в области верхнечелюстной пазухи заключается  в  проведении  разреза  и  откидывании  лоскута (десны), удалении кости  для  осуществления  доступа  к  полости  пазухи,  отслаивании  слизистой, установке  барьерной  мембраны  (при необходимости), введении аутогенных  трансплантатов  в  виде стружки  или  блока  и  ушивании  раны. Имплантаты могут  быть  установлены  одновременно  с проведением  операции  наращивания  кости  в  области  пазухи,  однако  такая  возможность существует  не  всегда. 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Как и любые стоматологические или медицинские процедуры, увеличение объема кости в области верхнечелюстной пазухи, а также введение лекарственных и обезболивающих препаратов связана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определёнными рисками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и осложнениями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7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Наиболее часто встречающиеся риски: </w:t>
      </w:r>
    </w:p>
    <w:p>
      <w:pPr>
        <w:numPr>
          <w:ilvl w:val="0"/>
          <w:numId w:val="12"/>
        </w:numPr>
        <w:spacing w:before="0" w:after="56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воспаление лёгкой или средней степени, в том числе в течение продолжительного периода, в особенности при ненадлежащем уходе за полостью рта;  </w:t>
      </w:r>
    </w:p>
    <w:p>
      <w:pPr>
        <w:numPr>
          <w:ilvl w:val="0"/>
          <w:numId w:val="12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болезненность и кровоточивость  из носа в ранний послеоперационный период и в отдаленные сроки; </w:t>
      </w:r>
    </w:p>
    <w:p>
      <w:pPr>
        <w:numPr>
          <w:ilvl w:val="0"/>
          <w:numId w:val="12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дискомфорт или боль при накусывании и/или пережевывании пищи; </w:t>
      </w:r>
    </w:p>
    <w:p>
      <w:pPr>
        <w:numPr>
          <w:ilvl w:val="0"/>
          <w:numId w:val="12"/>
        </w:numPr>
        <w:spacing w:before="0" w:after="0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отек мягких тканей полости рта и лица.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7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Иногда встречающиеся риски: </w:t>
      </w:r>
    </w:p>
    <w:p>
      <w:pPr>
        <w:numPr>
          <w:ilvl w:val="0"/>
          <w:numId w:val="16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инфекционное воспаление в области проведенного хирургического вмешательства;  </w:t>
      </w:r>
    </w:p>
    <w:p>
      <w:pPr>
        <w:numPr>
          <w:ilvl w:val="0"/>
          <w:numId w:val="16"/>
        </w:numPr>
        <w:spacing w:before="0" w:after="59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временное изменение цвета мягких тканей полости рта и кожи лица, низкая чувствительность губ, языка, тканей подбородка, щек и зубов; </w:t>
      </w:r>
    </w:p>
    <w:p>
      <w:pPr>
        <w:numPr>
          <w:ilvl w:val="0"/>
          <w:numId w:val="16"/>
        </w:numPr>
        <w:spacing w:before="0" w:after="0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перфорация дна придаточной пазухи; </w:t>
      </w:r>
    </w:p>
    <w:p>
      <w:pPr>
        <w:spacing w:before="0" w:after="7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Редко встречающиеся риски: </w:t>
      </w:r>
    </w:p>
    <w:p>
      <w:pPr>
        <w:numPr>
          <w:ilvl w:val="0"/>
          <w:numId w:val="20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хирургическая травма зубов;  </w:t>
      </w:r>
    </w:p>
    <w:p>
      <w:pPr>
        <w:numPr>
          <w:ilvl w:val="0"/>
          <w:numId w:val="20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скол фрагмента кости, проникновение в полость верхнечелюстного синуса;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проникновение в полость пазухи; </w:t>
      </w:r>
    </w:p>
    <w:p>
      <w:pPr>
        <w:numPr>
          <w:ilvl w:val="0"/>
          <w:numId w:val="20"/>
        </w:numPr>
        <w:spacing w:before="0" w:after="60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утрата  костного  материала,  экспозиция  барьерной  мембраны,  что  требует проведения  повторного  вмешательства  для  ее  удаления; </w:t>
      </w:r>
    </w:p>
    <w:p>
      <w:pPr>
        <w:numPr>
          <w:ilvl w:val="0"/>
          <w:numId w:val="20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формирование  соустья  между  пазухой  и полостью  рта; </w:t>
      </w:r>
    </w:p>
    <w:p>
      <w:pPr>
        <w:numPr>
          <w:ilvl w:val="0"/>
          <w:numId w:val="20"/>
        </w:numPr>
        <w:spacing w:before="0" w:after="59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отсутствие  возможности  установить  имплантаты  в  области  операции   в  будущем, возникновение  или  усугубление  патологии  височно-нижнечелюстного  сустава,  необходимость проведения  дополнительной  операции; </w:t>
      </w:r>
    </w:p>
    <w:p>
      <w:pPr>
        <w:numPr>
          <w:ilvl w:val="0"/>
          <w:numId w:val="20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увеличение сроков заживления послеоперационной раны; </w:t>
      </w:r>
    </w:p>
    <w:p>
      <w:pPr>
        <w:numPr>
          <w:ilvl w:val="0"/>
          <w:numId w:val="20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аллергическая реакция на использованные материалы, на средства местного обезболивания или другие используемые при лечении лекарственные препараты. </w:t>
      </w:r>
    </w:p>
    <w:p>
      <w:pPr>
        <w:spacing w:before="0" w:after="5" w:line="270"/>
        <w:ind w:right="1766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Помимо вышеописанных рисков, могут существовать и иные риски, не упомянутые здесь. В Вашем случае возможны следующие специфические риски: </w:t>
      </w:r>
    </w:p>
    <w:p>
      <w:pPr>
        <w:spacing w:before="0" w:after="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61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Для </w:t>
        <w:tab/>
        <w:t xml:space="preserve">достижения </w:t>
        <w:tab/>
        <w:t xml:space="preserve">положительных </w:t>
        <w:tab/>
        <w:t xml:space="preserve">результатов </w:t>
        <w:tab/>
        <w:t xml:space="preserve">лечения </w:t>
        <w:tab/>
        <w:t xml:space="preserve">необходимо </w:t>
        <w:tab/>
        <w:t xml:space="preserve">соблюдать </w:t>
        <w:tab/>
        <w:t xml:space="preserve">следующие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35" w:line="270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 забудьте проинформировать нас об особенностях Вашего организма и имеющихся аллергических реакциях. Настоящим Вы информируете нас о следующих своих заболеваниях и аллергических реакциях: </w:t>
      </w:r>
    </w:p>
    <w:p>
      <w:pPr>
        <w:spacing w:before="0" w:after="75" w:line="259"/>
        <w:ind w:right="0" w:left="18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</w:t>
      </w:r>
    </w:p>
    <w:p>
      <w:pPr>
        <w:spacing w:before="0" w:after="57" w:line="270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случае появления ощущения дискомфорта, боли, иных проблем или вопросов необходимо сразу же обратиться к Вашему лечащему врачу. </w:t>
      </w:r>
    </w:p>
    <w:p>
      <w:pPr>
        <w:spacing w:before="0" w:after="35" w:line="270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целях профилактики необходимо проверять состояние зубов и десны у стоматолога не реже 2 раз в год.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Последствия отказа от лечения: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случае отказа от предложенного и альтернативных методов лечения возможны следующие риски: </w:t>
      </w:r>
    </w:p>
    <w:p>
      <w:pPr>
        <w:numPr>
          <w:ilvl w:val="0"/>
          <w:numId w:val="34"/>
        </w:numPr>
        <w:spacing w:before="0" w:after="57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нарушение опоры зубов и челюстей, что может привести к подвижности зубов, дискомфорту/боли/повреждению челюстного сустава. </w:t>
      </w:r>
    </w:p>
    <w:p>
      <w:pPr>
        <w:numPr>
          <w:ilvl w:val="0"/>
          <w:numId w:val="34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снижение жевательной функции, что может привести к проблемам с питанием и пищеварением. </w:t>
      </w:r>
    </w:p>
    <w:p>
      <w:pPr>
        <w:numPr>
          <w:ilvl w:val="0"/>
          <w:numId w:val="34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ускоренная атрофия костной ткани из-за усиления давления при жевании. </w:t>
      </w:r>
    </w:p>
    <w:p>
      <w:pPr>
        <w:numPr>
          <w:ilvl w:val="0"/>
          <w:numId w:val="34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осложнения, связанные с нарушением расположения челюстей и зубов-антагонистов. </w:t>
      </w:r>
    </w:p>
    <w:p>
      <w:pPr>
        <w:numPr>
          <w:ilvl w:val="0"/>
          <w:numId w:val="34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убыль костной ткани, воспаление мягких тканей, повышенная чувствительность и подвижность зубов. </w:t>
      </w:r>
    </w:p>
    <w:p>
      <w:pPr>
        <w:numPr>
          <w:ilvl w:val="0"/>
          <w:numId w:val="34"/>
        </w:numPr>
        <w:spacing w:before="0" w:after="35" w:line="270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осложнения, связанные с патологическим состоянием височно-нижнечелюстного сустава: головная боль, боль в области лица и задней поверхности шеи, быстрое утомление мышц лицевого скелета при жевании.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СОГЛАСИЕ ПАЦИЕНТА: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Лечащий врач провел полное обследование полости рта. Мне были разъяснены альтернативные методы лечения. Альтернативным методом лечения является отсутствие лечения как такового.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прочитал(а) и понял(а) информацию, содержащуюся в информационном листе и иных представленных мне для ознакомления документах, в которых отражены основные сведения, полученные во время информационной консультации. 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 вопросы. 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проинформирован(а) о том, что я могу отозвать свое согласие на данную процедуру в любое время до начала лечения.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понимаю, что чрезмерное курение, употребление алкоголя и сахара могут оказывать негативное влияние на заживление послеоперационной раны. Я обязуюсь следовать инструкциям лечащего врача по уходу за полостью рта. 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обязуюсь информировать врача обо всех необычных ощущениях и случаях, происходящих со мной в ранний и отдаленный реабилитационный период после хирургического вмешательства.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даю согласие на проведение местного обезболивания и на все медицинские действия, которые врач сочтет необходимым провести для улучшения моего состояния в процессе лечения.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проинформировал(а) врача об общем состоянии своего здоровья. Также я сообщил(а) обо всех предшествующих аллергических или необычных реакциях на лекарственные препараты и средства местного обезболивания, кровь, продукты питания, укусы насекомых, пыльцу растений, пыль и предметы обихода; особенностях кровотечения при травме, а также о других особенностях, связанных с моим здоровьем, в том числе о перенесенных или имеющихся у меня заболеваниях, таких как СПИД, бронхиальная астма, гепатиты, заболевания сердечнососудистой системы, заболевания желудочно-кишечного тракта, туберкулез и другие заболевания, а также о случаях переливания крови, о контактах с инфекционными больными. </w:t>
      </w:r>
    </w:p>
    <w:p>
      <w:pPr>
        <w:spacing w:before="0" w:after="35" w:line="270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проинформировал(а) врача о принимаемых мной лекарственных средствах и биологически активных добавках, а именно __________________________________________________________________________________________.  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Мне было дано достаточно времени для принятия решения; мне больше не требуется дополнительное время для обдумывания решения. </w:t>
      </w:r>
    </w:p>
    <w:p>
      <w:pPr>
        <w:spacing w:before="0" w:after="0" w:line="270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Настоящим я даю свое согласие на проведение предложенной(-ого/-ых) процедур(ы)/метода(ов) лечения. Я даю согласие на анестезию, изменение или продление лечения в случае необходимости, а также на повторное и последующие хирургические вмешательства. 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 год). </w:t>
      </w:r>
    </w:p>
    <w:p>
      <w:pPr>
        <w:spacing w:before="0" w:after="5" w:line="269"/>
        <w:ind w:right="0" w:left="-15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 подписью: </w:t>
      </w:r>
    </w:p>
    <w:p>
      <w:pPr>
        <w:spacing w:before="0" w:after="1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3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Пациент___________________________________________________________________________________</w:t>
      </w:r>
    </w:p>
    <w:p>
      <w:pPr>
        <w:spacing w:before="0" w:after="0" w:line="267"/>
        <w:ind w:right="5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подпись пациента, Ф.И.О.)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Врач______________________________________________________________________________________ </w:t>
      </w:r>
    </w:p>
    <w:p>
      <w:pPr>
        <w:spacing w:before="0" w:after="29" w:line="267"/>
        <w:ind w:right="3713" w:left="376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подпись лечащего врача, Ф.И.О.)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М.П.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Дата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«_____» __________ 202__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г.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6">
    <w:abstractNumId w:val="12"/>
  </w:num>
  <w:num w:numId="20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